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0F172A"/>
            <w:tcMar>
              <w:top w:w="140" w:type="dxa"/>
              <w:bottom w:w="140" w:type="dxa"/>
              <w:left w:w="180" w:type="dxa"/>
              <w:right w:w="180" w:type="dxa"/>
            </w:tcMar>
          </w:tcPr>
          <w:p>
            <w:pPr>
              <w:spacing w:before="0" w:after="40"/>
            </w:pPr>
            <w:r>
              <w:rPr>
                <w:rFonts w:ascii="Calibri" w:hAnsi="Calibri"/>
                <w:b/>
                <w:color w:val="FFFFFF"/>
                <w:sz w:val="38"/>
              </w:rPr>
              <w:t>MARK J. ROSEBERRY, JR.</w:t>
            </w:r>
          </w:p>
          <w:p>
            <w:pPr>
              <w:spacing w:before="0" w:after="40"/>
            </w:pPr>
            <w:r>
              <w:rPr>
                <w:rFonts w:ascii="Calibri" w:hAnsi="Calibri"/>
                <w:b/>
                <w:color w:val="93C5FD"/>
                <w:sz w:val="20"/>
              </w:rPr>
              <w:t>IT Service Delivery Lead | Cloud Infrastructure, Project Controls &amp; Pipeline Engineering</w:t>
            </w:r>
          </w:p>
          <w:p>
            <w:pPr>
              <w:spacing w:before="60" w:after="0"/>
            </w:pPr>
            <w:r>
              <w:rPr>
                <w:rFonts w:ascii="Calibri" w:hAnsi="Calibri"/>
                <w:color w:val="E2E8F0"/>
                <w:sz w:val="17"/>
              </w:rPr>
              <w:t>Anchorage, AK  |  (907) 599-8887  |  MJ_Roseberry@hotmail.com  |  www.roseberry.dev  |  linkedin.com/in/mark-roseberry</w:t>
            </w:r>
          </w:p>
        </w:tc>
      </w:tr>
    </w:tbl>
    <w:p>
      <w:pPr>
        <w:spacing w:before="80" w:after="0"/>
      </w:pPr>
    </w:p>
    <w:tbl>
      <w:tblPr>
        <w:tblW w:type="auto" w:w="0"/>
        <w:jc w:val="center"/>
        <w:tblLook w:firstColumn="1" w:firstRow="1" w:lastColumn="0" w:lastRow="0" w:noHBand="0" w:noVBand="1" w:val="04A0"/>
      </w:tblPr>
      <w:tblGrid>
        <w:gridCol w:w="10800"/>
      </w:tblGrid>
      <w:tr>
        <w:tc>
          <w:tcPr>
            <w:tcW w:type="dxa" w:w="10800"/>
            <w:shd w:fill="F1F5F9"/>
            <w:tcMar>
              <w:top w:w="80" w:type="dxa"/>
              <w:bottom w:w="80" w:type="dxa"/>
              <w:left w:w="120" w:type="dxa"/>
              <w:right w:w="120" w:type="dxa"/>
            </w:tcMar>
            <w:tcBorders>
              <w:left w:val="single" w:sz="24" w:space="0" w:color="2563EB"/>
              <w:top w:val="none"/>
              <w:right w:val="none"/>
              <w:bottom w:val="none"/>
            </w:tcBorders>
          </w:tcPr>
          <w:p>
            <w:pPr>
              <w:spacing w:before="0" w:after="0" w:line="276" w:lineRule="auto"/>
            </w:pPr>
            <w:r>
              <w:rPr>
                <w:rFonts w:ascii="Calibri" w:hAnsi="Calibri"/>
                <w:b/>
                <w:color w:val="0F172A"/>
                <w:sz w:val="19"/>
              </w:rPr>
              <w:t xml:space="preserve">Executive Summary: </w:t>
            </w:r>
            <w:r>
              <w:rPr>
                <w:rFonts w:ascii="Calibri" w:hAnsi="Calibri"/>
                <w:color w:val="1E293B"/>
                <w:sz w:val="19"/>
              </w:rPr>
              <w:t>Technology and engineering leader with 12 years of experience spanning enterprise IT service delivery, cloud engineering, Arctic pipeline engineering, and capital project controls. Leads enterprise endpoint hardware standards, authors IT governance policies, and modernizes communication infrastructure across corporate and remote operating sites. Combines eight years of hands-on pipeline engineering and project controls with cloud administration to align technology operations with business reliability.</w:t>
            </w:r>
          </w:p>
        </w:tc>
      </w:tr>
    </w:tbl>
    <w:p>
      <w:pPr>
        <w:keepNext/>
        <w:spacing w:before="160" w:after="60"/>
        <w:pBdr>
          <w:bottom w:val="single" w:sz="12" w:space="2" w:color="1E3A8A"/>
        </w:pBdr>
      </w:pPr>
      <w:r>
        <w:rPr>
          <w:rFonts w:ascii="Calibri" w:hAnsi="Calibri"/>
          <w:b/>
          <w:color w:val="0F172A"/>
          <w:sz w:val="21"/>
        </w:rPr>
        <w:t>PROFESSIONAL EXPERIENCE</w:t>
      </w:r>
    </w:p>
    <w:p>
      <w:pPr>
        <w:keepNext/>
        <w:spacing w:before="80" w:after="0"/>
      </w:pPr>
      <w:r>
        <w:rPr>
          <w:rFonts w:ascii="Calibri" w:hAnsi="Calibri"/>
          <w:b/>
          <w:color w:val="0F172A"/>
          <w:sz w:val="21"/>
        </w:rPr>
        <w:t>Alyeska Pipeline Service Company</w:t>
      </w:r>
      <w:r>
        <w:rPr>
          <w:rFonts w:ascii="Calibri" w:hAnsi="Calibri"/>
          <w:color w:val="2563EB"/>
          <w:sz w:val="19"/>
        </w:rPr>
        <w:t xml:space="preserve">  |  July 2023 to Present</w:t>
      </w:r>
    </w:p>
    <w:p>
      <w:pPr>
        <w:keepNext/>
        <w:spacing w:before="0" w:after="40"/>
      </w:pPr>
      <w:r>
        <w:rPr>
          <w:rFonts w:ascii="Calibri" w:hAnsi="Calibri"/>
          <w:i/>
          <w:color w:val="334155"/>
          <w:sz w:val="19"/>
        </w:rPr>
        <w:t>IT Service Delivery Lead  |  Anchorage, AK</w:t>
      </w:r>
    </w:p>
    <w:p>
      <w:pPr>
        <w:pStyle w:val="ListBullet"/>
        <w:spacing w:before="20" w:after="40" w:line="276" w:lineRule="auto"/>
      </w:pPr>
      <w:r>
        <w:rPr>
          <w:rFonts w:ascii="Calibri" w:hAnsi="Calibri"/>
          <w:b/>
          <w:color w:val="0F172A"/>
          <w:sz w:val="19"/>
        </w:rPr>
        <w:t xml:space="preserve">Enterprise IT Governance: </w:t>
      </w:r>
      <w:r>
        <w:rPr>
          <w:rFonts w:ascii="Calibri" w:hAnsi="Calibri"/>
          <w:color w:val="1E293B"/>
          <w:sz w:val="19"/>
        </w:rPr>
        <w:t>Authored and modernized enterprise IT policies and operational standards to align endpoint management, security posture, and user services across corporate and remote operating facilities.</w:t>
      </w:r>
    </w:p>
    <w:p>
      <w:pPr>
        <w:pStyle w:val="ListBullet"/>
        <w:spacing w:before="20" w:after="40" w:line="276" w:lineRule="auto"/>
      </w:pPr>
      <w:r>
        <w:rPr>
          <w:rFonts w:ascii="Calibri" w:hAnsi="Calibri"/>
          <w:b/>
          <w:color w:val="0F172A"/>
          <w:sz w:val="19"/>
        </w:rPr>
        <w:t xml:space="preserve">Communication Modernization: </w:t>
      </w:r>
      <w:r>
        <w:rPr>
          <w:rFonts w:ascii="Calibri" w:hAnsi="Calibri"/>
          <w:color w:val="1E293B"/>
          <w:sz w:val="19"/>
        </w:rPr>
        <w:t>Modernized and expanded video conferencing and communication capabilities across facilities by deploying standardized conferencing hardware and rapidly re-architecting critical conference systems in-house to improve reliability and reduce deployment costs.</w:t>
      </w:r>
    </w:p>
    <w:p>
      <w:pPr>
        <w:pStyle w:val="ListBullet"/>
        <w:spacing w:before="20" w:after="40" w:line="276" w:lineRule="auto"/>
      </w:pPr>
      <w:r>
        <w:rPr>
          <w:rFonts w:ascii="Calibri" w:hAnsi="Calibri"/>
          <w:b/>
          <w:color w:val="0F172A"/>
          <w:sz w:val="19"/>
        </w:rPr>
        <w:t xml:space="preserve">Hardware Lifecycle &amp; Fleet Standardization: </w:t>
      </w:r>
      <w:r>
        <w:rPr>
          <w:rFonts w:ascii="Calibri" w:hAnsi="Calibri"/>
          <w:color w:val="1E293B"/>
          <w:sz w:val="19"/>
        </w:rPr>
        <w:t>Rebuilt the enterprise IT hardware catalog and established multi-year endpoint lifecycle standards; co-led an organization-wide printer consolidation initiative to reduce device sprawl, supply costs, and maintenance overhead.</w:t>
      </w:r>
    </w:p>
    <w:p>
      <w:pPr>
        <w:pStyle w:val="ListBullet"/>
        <w:spacing w:before="20" w:after="40" w:line="276" w:lineRule="auto"/>
      </w:pPr>
      <w:r>
        <w:rPr>
          <w:rFonts w:ascii="Calibri" w:hAnsi="Calibri"/>
          <w:b/>
          <w:color w:val="0F172A"/>
          <w:sz w:val="19"/>
        </w:rPr>
        <w:t xml:space="preserve">Business Collaboration: </w:t>
      </w:r>
      <w:r>
        <w:rPr>
          <w:rFonts w:ascii="Calibri" w:hAnsi="Calibri"/>
          <w:color w:val="1E293B"/>
          <w:sz w:val="19"/>
        </w:rPr>
        <w:t>Partnered directly with business stakeholders to design, test, and implement rapid proofs of concept, scaling successful pilots into standardized operational solutions across multiple locations.</w:t>
      </w:r>
    </w:p>
    <w:p>
      <w:pPr>
        <w:keepNext/>
        <w:spacing w:before="100" w:after="0"/>
      </w:pPr>
      <w:r>
        <w:rPr>
          <w:rFonts w:ascii="Calibri" w:hAnsi="Calibri"/>
          <w:b/>
          <w:color w:val="0F172A"/>
          <w:sz w:val="21"/>
        </w:rPr>
        <w:t>Tex R Us, LLC</w:t>
      </w:r>
      <w:r>
        <w:rPr>
          <w:rFonts w:ascii="Calibri" w:hAnsi="Calibri"/>
          <w:color w:val="2563EB"/>
          <w:sz w:val="19"/>
        </w:rPr>
        <w:t xml:space="preserve">  |  August 2022 to June 2023</w:t>
      </w:r>
    </w:p>
    <w:p>
      <w:pPr>
        <w:keepNext/>
        <w:spacing w:before="0" w:after="40"/>
      </w:pPr>
      <w:r>
        <w:rPr>
          <w:rFonts w:ascii="Calibri" w:hAnsi="Calibri"/>
          <w:i/>
          <w:color w:val="334155"/>
          <w:sz w:val="19"/>
        </w:rPr>
        <w:t>IT Cloud Engineer  |  Anchorage, AK</w:t>
      </w:r>
    </w:p>
    <w:p>
      <w:pPr>
        <w:pStyle w:val="ListBullet"/>
        <w:spacing w:before="20" w:after="40" w:line="276" w:lineRule="auto"/>
      </w:pPr>
      <w:r>
        <w:rPr>
          <w:rFonts w:ascii="Calibri" w:hAnsi="Calibri"/>
          <w:b/>
          <w:color w:val="0F172A"/>
          <w:sz w:val="19"/>
        </w:rPr>
        <w:t xml:space="preserve">Cloud Migrations &amp; Architecture: </w:t>
      </w:r>
      <w:r>
        <w:rPr>
          <w:rFonts w:ascii="Calibri" w:hAnsi="Calibri"/>
          <w:color w:val="1E293B"/>
          <w:sz w:val="19"/>
        </w:rPr>
        <w:t>Planned and executed full-scale migrations from on-premises domains and file servers to Azure, Microsoft 365, and Google Cloud platforms.</w:t>
      </w:r>
    </w:p>
    <w:p>
      <w:pPr>
        <w:pStyle w:val="ListBullet"/>
        <w:spacing w:before="20" w:after="40" w:line="276" w:lineRule="auto"/>
      </w:pPr>
      <w:r>
        <w:rPr>
          <w:rFonts w:ascii="Calibri" w:hAnsi="Calibri"/>
          <w:b/>
          <w:color w:val="0F172A"/>
          <w:sz w:val="19"/>
        </w:rPr>
        <w:t xml:space="preserve">Zero-Touch Provisioning &amp; Security: </w:t>
      </w:r>
      <w:r>
        <w:rPr>
          <w:rFonts w:ascii="Calibri" w:hAnsi="Calibri"/>
          <w:color w:val="1E293B"/>
          <w:sz w:val="19"/>
        </w:rPr>
        <w:t>Designed and deployed the firm's first Windows Autopilot and Intune provisioning pipeline, automating endpoint configuration alongside Microsoft Entra ID MFA, Conditional Access, and security baselines across client environments.</w:t>
      </w:r>
    </w:p>
    <w:p>
      <w:pPr>
        <w:pStyle w:val="ListBullet"/>
        <w:spacing w:before="20" w:after="40" w:line="276" w:lineRule="auto"/>
      </w:pPr>
      <w:r>
        <w:rPr>
          <w:rFonts w:ascii="Calibri" w:hAnsi="Calibri"/>
          <w:b/>
          <w:color w:val="0F172A"/>
          <w:sz w:val="19"/>
        </w:rPr>
        <w:t xml:space="preserve">Cloud Governance &amp; Enablement: </w:t>
      </w:r>
      <w:r>
        <w:rPr>
          <w:rFonts w:ascii="Calibri" w:hAnsi="Calibri"/>
          <w:color w:val="1E293B"/>
          <w:sz w:val="19"/>
        </w:rPr>
        <w:t>Collaborated on cloud strategy, cost optimization, data integrity, and access management while training internal teams to align IT operations with business objectives.</w:t>
      </w:r>
    </w:p>
    <w:p>
      <w:pPr>
        <w:keepNext/>
        <w:spacing w:before="100" w:after="0"/>
      </w:pPr>
      <w:r>
        <w:rPr>
          <w:rFonts w:ascii="Calibri" w:hAnsi="Calibri"/>
          <w:b/>
          <w:color w:val="0F172A"/>
          <w:sz w:val="21"/>
        </w:rPr>
        <w:t>UMIAQ Design, LLC</w:t>
      </w:r>
      <w:r>
        <w:rPr>
          <w:rFonts w:ascii="Calibri" w:hAnsi="Calibri"/>
          <w:color w:val="2563EB"/>
          <w:sz w:val="19"/>
        </w:rPr>
        <w:t xml:space="preserve">  |  April 2022 to August 2022</w:t>
      </w:r>
    </w:p>
    <w:p>
      <w:pPr>
        <w:keepNext/>
        <w:spacing w:before="0" w:after="40"/>
      </w:pPr>
      <w:r>
        <w:rPr>
          <w:rFonts w:ascii="Calibri" w:hAnsi="Calibri"/>
          <w:i/>
          <w:color w:val="334155"/>
          <w:sz w:val="19"/>
        </w:rPr>
        <w:t>Engineer I  |  Anchorage, AK</w:t>
      </w:r>
    </w:p>
    <w:p>
      <w:pPr>
        <w:pStyle w:val="ListBullet"/>
        <w:spacing w:before="20" w:after="40" w:line="276" w:lineRule="auto"/>
      </w:pPr>
      <w:r>
        <w:rPr>
          <w:rFonts w:ascii="Calibri" w:hAnsi="Calibri"/>
          <w:b/>
          <w:color w:val="0F172A"/>
          <w:sz w:val="19"/>
        </w:rPr>
        <w:t xml:space="preserve">Arctic Utility Engineering: </w:t>
      </w:r>
      <w:r>
        <w:rPr>
          <w:rFonts w:ascii="Calibri" w:hAnsi="Calibri"/>
          <w:color w:val="1E293B"/>
          <w:sz w:val="19"/>
        </w:rPr>
        <w:t>Conducted field investigations, prepared and reviewed construction documents, and coordinated with clients and stakeholders across municipal water and wastewater infrastructure projects in Arctic communities.</w:t>
      </w:r>
    </w:p>
    <w:p>
      <w:r>
        <w:br w:type="page"/>
      </w:r>
    </w:p>
    <w:p>
      <w:pPr>
        <w:spacing w:before="0" w:after="80"/>
      </w:pPr>
      <w:r>
        <w:rPr>
          <w:rFonts w:ascii="Calibri" w:hAnsi="Calibri"/>
          <w:b/>
          <w:color w:val="0F172A"/>
          <w:sz w:val="19"/>
        </w:rPr>
        <w:t xml:space="preserve">MARK J. ROSEBERRY, JR.  |  </w:t>
      </w:r>
      <w:r>
        <w:rPr>
          <w:rFonts w:ascii="Calibri" w:hAnsi="Calibri"/>
          <w:color w:val="64748B"/>
          <w:sz w:val="18"/>
        </w:rPr>
        <w:t>Executive Resume (Page 2 of 2)</w:t>
      </w:r>
    </w:p>
    <w:p>
      <w:pPr>
        <w:keepNext/>
        <w:spacing w:before="160" w:after="60"/>
        <w:pBdr>
          <w:bottom w:val="single" w:sz="12" w:space="2" w:color="1E3A8A"/>
        </w:pBdr>
      </w:pPr>
      <w:r>
        <w:rPr>
          <w:rFonts w:ascii="Calibri" w:hAnsi="Calibri"/>
          <w:b/>
          <w:color w:val="0F172A"/>
          <w:sz w:val="21"/>
        </w:rPr>
        <w:t>PROFESSIONAL EXPERIENCE (CONTINUED)</w:t>
      </w:r>
    </w:p>
    <w:p>
      <w:pPr>
        <w:keepNext/>
        <w:spacing w:before="80" w:after="0"/>
      </w:pPr>
      <w:r>
        <w:rPr>
          <w:rFonts w:ascii="Calibri" w:hAnsi="Calibri"/>
          <w:b/>
          <w:color w:val="0F172A"/>
          <w:sz w:val="21"/>
        </w:rPr>
        <w:t>ASRC Energy Services, Houston Contracting Company</w:t>
      </w:r>
      <w:r>
        <w:rPr>
          <w:rFonts w:ascii="Calibri" w:hAnsi="Calibri"/>
          <w:color w:val="2563EB"/>
          <w:sz w:val="19"/>
        </w:rPr>
        <w:t xml:space="preserve">  |  October 2014 to April 2022</w:t>
      </w:r>
    </w:p>
    <w:p>
      <w:pPr>
        <w:keepNext/>
        <w:spacing w:before="40" w:after="40"/>
      </w:pPr>
      <w:r>
        <w:rPr>
          <w:rFonts w:ascii="Calibri" w:hAnsi="Calibri"/>
          <w:b/>
          <w:color w:val="1E293B"/>
          <w:sz w:val="19"/>
        </w:rPr>
        <w:t>Cost Scheduler / Project Controls Lead  |  September 2019 to April 2022</w:t>
      </w:r>
    </w:p>
    <w:p>
      <w:pPr>
        <w:pStyle w:val="ListBullet"/>
        <w:spacing w:before="20" w:after="40" w:line="276" w:lineRule="auto"/>
      </w:pPr>
      <w:r>
        <w:rPr>
          <w:rFonts w:ascii="Calibri" w:hAnsi="Calibri"/>
          <w:b/>
          <w:color w:val="0F172A"/>
          <w:sz w:val="19"/>
        </w:rPr>
        <w:t xml:space="preserve">Capital Project Controls ($5M to $30M): </w:t>
      </w:r>
      <w:r>
        <w:rPr>
          <w:rFonts w:ascii="Calibri" w:hAnsi="Calibri"/>
          <w:color w:val="1E293B"/>
          <w:sz w:val="19"/>
        </w:rPr>
        <w:t>Created and managed resource-loaded Oracle Primavera P6 baseline and master schedules for multi-year pipeline, power, and fiber projects, coordinating manpower, cost, and schedule execution with field teams.</w:t>
      </w:r>
    </w:p>
    <w:p>
      <w:pPr>
        <w:pStyle w:val="ListBullet"/>
        <w:spacing w:before="20" w:after="40" w:line="276" w:lineRule="auto"/>
      </w:pPr>
      <w:r>
        <w:rPr>
          <w:rFonts w:ascii="Calibri" w:hAnsi="Calibri"/>
          <w:b/>
          <w:color w:val="0F172A"/>
          <w:sz w:val="19"/>
        </w:rPr>
        <w:t xml:space="preserve">Commercial &amp; Earned Value Analysis: </w:t>
      </w:r>
      <w:r>
        <w:rPr>
          <w:rFonts w:ascii="Calibri" w:hAnsi="Calibri"/>
          <w:color w:val="1E293B"/>
          <w:sz w:val="19"/>
        </w:rPr>
        <w:t>Produced daily and weekly progress reporting, earned value analysis (SPI/CPI), workforce forecasts, and Time Impact Analyses substantiating multimillion-dollar contract change claims.</w:t>
      </w:r>
    </w:p>
    <w:p>
      <w:pPr>
        <w:keepNext/>
        <w:spacing w:before="80" w:after="40"/>
      </w:pPr>
      <w:r>
        <w:rPr>
          <w:rFonts w:ascii="Calibri" w:hAnsi="Calibri"/>
          <w:b/>
          <w:color w:val="1E293B"/>
          <w:sz w:val="19"/>
        </w:rPr>
        <w:t>Mechanical Field Engineer / Project Engineer  |  October 2014 to September 2019</w:t>
      </w:r>
    </w:p>
    <w:p>
      <w:pPr>
        <w:pStyle w:val="ListBullet"/>
        <w:spacing w:before="20" w:after="40" w:line="276" w:lineRule="auto"/>
      </w:pPr>
      <w:r>
        <w:rPr>
          <w:rFonts w:ascii="Calibri" w:hAnsi="Calibri"/>
          <w:b/>
          <w:color w:val="0F172A"/>
          <w:sz w:val="19"/>
        </w:rPr>
        <w:t xml:space="preserve">Pipeline Documentation &amp; Regulatory Submittals: </w:t>
      </w:r>
      <w:r>
        <w:rPr>
          <w:rFonts w:ascii="Calibri" w:hAnsi="Calibri"/>
          <w:color w:val="1E293B"/>
          <w:sz w:val="19"/>
        </w:rPr>
        <w:t>Created and maintained P&amp;IDs, instrument lists, valve lists, pump lists, and working submittals across pipeline construction projects, ensuring installations and hydrotests met client and regulatory compliance standards.</w:t>
      </w:r>
    </w:p>
    <w:p>
      <w:pPr>
        <w:pStyle w:val="ListBullet"/>
        <w:spacing w:before="20" w:after="40" w:line="276" w:lineRule="auto"/>
      </w:pPr>
      <w:r>
        <w:rPr>
          <w:rFonts w:ascii="Calibri" w:hAnsi="Calibri"/>
          <w:b/>
          <w:color w:val="0F172A"/>
          <w:sz w:val="19"/>
        </w:rPr>
        <w:t xml:space="preserve">Engineering Calculation Automation: </w:t>
      </w:r>
      <w:r>
        <w:rPr>
          <w:rFonts w:ascii="Calibri" w:hAnsi="Calibri"/>
          <w:color w:val="1E293B"/>
          <w:sz w:val="19"/>
        </w:rPr>
        <w:t>Replaced manual surveying spreadsheets with an automated calculation engine computing coordinates, drill depths, and slurry volumes across thousands of pipeline vertical support members (VSMs), eliminating manual calculations and accelerating field turnaround.</w:t>
      </w:r>
    </w:p>
    <w:p>
      <w:pPr>
        <w:pStyle w:val="ListBullet"/>
        <w:spacing w:before="20" w:after="40" w:line="276" w:lineRule="auto"/>
      </w:pPr>
      <w:r>
        <w:rPr>
          <w:rFonts w:ascii="Calibri" w:hAnsi="Calibri"/>
          <w:b/>
          <w:color w:val="0F172A"/>
          <w:sz w:val="19"/>
        </w:rPr>
        <w:t xml:space="preserve">Field Execution &amp; Lift Planning: </w:t>
      </w:r>
      <w:r>
        <w:rPr>
          <w:rFonts w:ascii="Calibri" w:hAnsi="Calibri"/>
          <w:color w:val="1E293B"/>
          <w:sz w:val="19"/>
        </w:rPr>
        <w:t>Coordinated project scopes, Job Hazard Analyses (JHAs), and custom 3D CAD structural rigging designs alongside field welders, mechanics, and operators for critical lifts around live pipelines.</w:t>
      </w:r>
    </w:p>
    <w:p>
      <w:pPr>
        <w:spacing w:before="100" w:after="80"/>
      </w:pPr>
      <w:r>
        <w:rPr>
          <w:rFonts w:ascii="Calibri" w:hAnsi="Calibri"/>
          <w:b/>
          <w:color w:val="0F172A"/>
          <w:sz w:val="18"/>
        </w:rPr>
        <w:t xml:space="preserve">Early Foundations (2008 to 2014): </w:t>
      </w:r>
      <w:r>
        <w:rPr>
          <w:rFonts w:ascii="Calibri" w:hAnsi="Calibri"/>
          <w:color w:val="334155"/>
          <w:sz w:val="18"/>
        </w:rPr>
        <w:t>Engineering internships (ASRC Energy Services), Arctic drilling operations (Kuukpik Drilling), and satellite ground-station RF interference research (NOAA).</w:t>
      </w:r>
    </w:p>
    <w:p>
      <w:pPr>
        <w:keepNext/>
        <w:spacing w:before="160" w:after="60"/>
        <w:pBdr>
          <w:bottom w:val="single" w:sz="12" w:space="2" w:color="1E3A8A"/>
        </w:pBdr>
      </w:pPr>
      <w:r>
        <w:rPr>
          <w:rFonts w:ascii="Calibri" w:hAnsi="Calibri"/>
          <w:b/>
          <w:color w:val="0F172A"/>
          <w:sz w:val="21"/>
        </w:rPr>
        <w:t>CORE COMPETENCIES</w:t>
      </w:r>
    </w:p>
    <w:tbl>
      <w:tblPr>
        <w:tblW w:type="auto" w:w="0"/>
        <w:jc w:val="center"/>
        <w:tblLook w:firstColumn="1" w:firstRow="1" w:lastColumn="0" w:lastRow="0" w:noHBand="0" w:noVBand="1" w:val="04A0"/>
      </w:tblPr>
      <w:tblGrid>
        <w:gridCol w:w="5400"/>
        <w:gridCol w:w="5400"/>
      </w:tblGrid>
      <w:tr>
        <w:tc>
          <w:tcPr>
            <w:tcW w:type="dxa" w:w="5400"/>
            <w:shd w:fill="F8FAFC"/>
            <w:tcMar>
              <w:top w:w="45" w:type="dxa"/>
              <w:bottom w:w="45" w:type="dxa"/>
              <w:left w:w="60" w:type="dxa"/>
              <w:right w:w="60" w:type="dxa"/>
            </w:tcMar>
          </w:tcPr>
          <w:p>
            <w:pPr>
              <w:spacing w:before="0" w:after="20"/>
            </w:pPr>
            <w:r>
              <w:rPr>
                <w:rFonts w:ascii="Calibri" w:hAnsi="Calibri"/>
                <w:b/>
                <w:color w:val="0F172A"/>
                <w:sz w:val="17"/>
              </w:rPr>
              <w:t>IT Service Delivery &amp; Governance</w:t>
              <w:br/>
            </w:r>
            <w:r>
              <w:rPr>
                <w:rFonts w:ascii="Calibri" w:hAnsi="Calibri"/>
                <w:color w:val="334155"/>
                <w:sz w:val="16"/>
              </w:rPr>
              <w:t>Enterprise IT Policy Authorship | Hardware Catalog &amp; Endpoint Lifecycle Management | Enterprise Communication Infrastructure | Rapid Proof-of-Concept Delivery</w:t>
            </w:r>
          </w:p>
        </w:tc>
        <w:tc>
          <w:tcPr>
            <w:tcW w:type="dxa" w:w="5400"/>
            <w:shd w:fill="F8FAFC"/>
            <w:tcMar>
              <w:top w:w="45" w:type="dxa"/>
              <w:bottom w:w="45" w:type="dxa"/>
              <w:left w:w="60" w:type="dxa"/>
              <w:right w:w="60" w:type="dxa"/>
            </w:tcMar>
          </w:tcPr>
          <w:p>
            <w:pPr>
              <w:spacing w:before="0" w:after="20"/>
            </w:pPr>
            <w:r>
              <w:rPr>
                <w:rFonts w:ascii="Calibri" w:hAnsi="Calibri"/>
                <w:b/>
                <w:color w:val="0F172A"/>
                <w:sz w:val="17"/>
              </w:rPr>
              <w:t>Cloud &amp; Systems Engineering</w:t>
              <w:br/>
            </w:r>
            <w:r>
              <w:rPr>
                <w:rFonts w:ascii="Calibri" w:hAnsi="Calibri"/>
                <w:color w:val="334155"/>
                <w:sz w:val="16"/>
              </w:rPr>
              <w:t>Microsoft 365, Azure &amp; Google Cloud Migrations | Windows Autopilot, Intune &amp; SCCM | Identity, MFA &amp; Conditional Access | Network, Firewall &amp; Virtualization Administration</w:t>
            </w:r>
          </w:p>
        </w:tc>
      </w:tr>
      <w:tr>
        <w:tc>
          <w:tcPr>
            <w:tcW w:type="dxa" w:w="5400"/>
            <w:shd w:fill="F8FAFC"/>
            <w:tcMar>
              <w:top w:w="45" w:type="dxa"/>
              <w:bottom w:w="45" w:type="dxa"/>
              <w:left w:w="60" w:type="dxa"/>
              <w:right w:w="60" w:type="dxa"/>
            </w:tcMar>
          </w:tcPr>
          <w:p>
            <w:pPr>
              <w:spacing w:before="0" w:after="20"/>
            </w:pPr>
            <w:r>
              <w:rPr>
                <w:rFonts w:ascii="Calibri" w:hAnsi="Calibri"/>
                <w:b/>
                <w:color w:val="0F172A"/>
                <w:sz w:val="17"/>
              </w:rPr>
              <w:t>Project Controls &amp; Pipeline Engineering</w:t>
              <w:br/>
            </w:r>
            <w:r>
              <w:rPr>
                <w:rFonts w:ascii="Calibri" w:hAnsi="Calibri"/>
                <w:color w:val="334155"/>
                <w:sz w:val="16"/>
              </w:rPr>
              <w:t>P&amp;IDs, Instrument, Valve &amp; Pump Schedules | Oracle Primavera P6 Scheduling ($5M to $30M) | Earned Value Management (SPI/CPI) &amp; Estimating | Pipeline Hydrotesting, 3D CAD &amp; Rigging Design</w:t>
            </w:r>
          </w:p>
        </w:tc>
        <w:tc>
          <w:tcPr>
            <w:tcW w:type="dxa" w:w="5400"/>
            <w:shd w:fill="F8FAFC"/>
            <w:tcMar>
              <w:top w:w="45" w:type="dxa"/>
              <w:bottom w:w="45" w:type="dxa"/>
              <w:left w:w="60" w:type="dxa"/>
              <w:right w:w="60" w:type="dxa"/>
            </w:tcMar>
          </w:tcPr>
          <w:p>
            <w:pPr>
              <w:spacing w:before="0" w:after="20"/>
            </w:pPr>
            <w:r>
              <w:rPr>
                <w:rFonts w:ascii="Calibri" w:hAnsi="Calibri"/>
                <w:b/>
                <w:color w:val="0F172A"/>
                <w:sz w:val="17"/>
              </w:rPr>
              <w:t>Automation &amp; Emerging Technology</w:t>
              <w:br/>
            </w:r>
            <w:r>
              <w:rPr>
                <w:rFonts w:ascii="Calibri" w:hAnsi="Calibri"/>
                <w:color w:val="334155"/>
                <w:sz w:val="16"/>
              </w:rPr>
              <w:t>Independent Cloud &amp; Local AI Prototyping | Technical Document Structuring | Engineering Calculation Automation | Python Scripting</w:t>
            </w:r>
          </w:p>
        </w:tc>
      </w:tr>
    </w:tbl>
    <w:p>
      <w:pPr>
        <w:keepNext/>
        <w:spacing w:before="160" w:after="60"/>
        <w:pBdr>
          <w:bottom w:val="single" w:sz="12" w:space="2" w:color="1E3A8A"/>
        </w:pBdr>
      </w:pPr>
      <w:r>
        <w:rPr>
          <w:rFonts w:ascii="Calibri" w:hAnsi="Calibri"/>
          <w:b/>
          <w:color w:val="0F172A"/>
          <w:sz w:val="21"/>
        </w:rPr>
        <w:t>EDUCATION &amp; CREDENTIALS</w:t>
      </w:r>
    </w:p>
    <w:p>
      <w:pPr>
        <w:spacing w:before="40" w:after="20"/>
      </w:pPr>
      <w:r>
        <w:rPr>
          <w:rFonts w:ascii="Calibri" w:hAnsi="Calibri"/>
          <w:b/>
          <w:color w:val="0F172A"/>
          <w:sz w:val="18"/>
        </w:rPr>
        <w:t>B.S. in Petroleum Engineering, University of Alaska Fairbanks (2014) | ANSEP Scholar</w:t>
        <w:br/>
      </w:r>
      <w:r>
        <w:rPr>
          <w:rFonts w:ascii="Calibri" w:hAnsi="Calibri"/>
          <w:color w:val="64748B"/>
          <w:sz w:val="16"/>
        </w:rPr>
        <w:t>(Coursework in process control systems, fluid dynamics, hydraulic pressure/drag, multiphase flow, thermodynamics, and petroleum chemistry)</w:t>
      </w:r>
    </w:p>
    <w:p>
      <w:pPr>
        <w:spacing w:before="40" w:after="20"/>
      </w:pPr>
      <w:r>
        <w:rPr>
          <w:rFonts w:ascii="Calibri" w:hAnsi="Calibri"/>
          <w:b/>
          <w:color w:val="0F172A"/>
          <w:sz w:val="18"/>
        </w:rPr>
        <w:t xml:space="preserve">CompTIA Certifications: </w:t>
      </w:r>
      <w:r>
        <w:rPr>
          <w:rFonts w:ascii="Calibri" w:hAnsi="Calibri"/>
          <w:color w:val="334155"/>
          <w:sz w:val="18"/>
        </w:rPr>
        <w:t>Security+ | Network+ | A+ (2022)</w:t>
      </w:r>
    </w:p>
    <w:p>
      <w:pPr>
        <w:spacing w:before="40" w:after="20"/>
      </w:pPr>
      <w:r>
        <w:rPr>
          <w:rFonts w:ascii="Calibri" w:hAnsi="Calibri"/>
          <w:b/>
          <w:color w:val="0F172A"/>
          <w:sz w:val="18"/>
        </w:rPr>
        <w:t xml:space="preserve">Technical Training: </w:t>
      </w:r>
      <w:r>
        <w:rPr>
          <w:rFonts w:ascii="Calibri" w:hAnsi="Calibri"/>
          <w:color w:val="334155"/>
          <w:sz w:val="18"/>
        </w:rPr>
        <w:t>Harvard CS50P (Python) | Oracle Primavera P6 | PMBOK Project Management (24.5 Hours)</w:t>
      </w:r>
    </w:p>
    <w:sectPr w:rsidR="00FC693F" w:rsidRPr="0006063C" w:rsidSect="00034616">
      <w:pgSz w:w="12240" w:h="15840"/>
      <w:pgMar w:top="691" w:right="720" w:bottom="691"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